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</w:p>
    <w:p w:rsid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  <w:r w:rsidRPr="00267197">
        <w:rPr>
          <w:b/>
          <w:sz w:val="20"/>
          <w:szCs w:val="20"/>
        </w:rPr>
        <w:t>REGULAMIN OBRAD</w:t>
      </w:r>
    </w:p>
    <w:p w:rsidR="00267197" w:rsidRP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  <w:r w:rsidRPr="00267197">
        <w:rPr>
          <w:b/>
          <w:sz w:val="20"/>
          <w:szCs w:val="20"/>
        </w:rPr>
        <w:t>Walnego Zebrania Członków</w:t>
      </w:r>
    </w:p>
    <w:p w:rsid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  <w:r w:rsidRPr="00267197">
        <w:rPr>
          <w:b/>
          <w:sz w:val="20"/>
          <w:szCs w:val="20"/>
        </w:rPr>
        <w:t>Polskiego Związku Squasha</w:t>
      </w:r>
    </w:p>
    <w:p w:rsidR="00690522" w:rsidRPr="00267197" w:rsidRDefault="00901CAC" w:rsidP="00267197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690522">
        <w:rPr>
          <w:b/>
          <w:sz w:val="20"/>
          <w:szCs w:val="20"/>
        </w:rPr>
        <w:t>9.0</w:t>
      </w:r>
      <w:r>
        <w:rPr>
          <w:b/>
          <w:sz w:val="20"/>
          <w:szCs w:val="20"/>
        </w:rPr>
        <w:t>6.2021</w:t>
      </w:r>
      <w:bookmarkStart w:id="0" w:name="_GoBack"/>
      <w:bookmarkEnd w:id="0"/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1.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Walne Zebranie Członków Polskiego Związku Squasha obraduje w oparciu o obowiązujący Statut PZSQ zarejestrowany w Sądzie Rejonowym dla m. st. Warszawy, XII Wydział Gospodarczy Krajowego Rejestru Sądowego oraz niniejszy Regulamin.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2.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 xml:space="preserve">1. Prawo do udziału w Walnym Zebraniu mają: 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 xml:space="preserve">1) z głosem stanowiącym </w:t>
      </w:r>
    </w:p>
    <w:p w:rsidR="00267197" w:rsidRPr="00267197" w:rsidRDefault="00267197" w:rsidP="00267197">
      <w:pPr>
        <w:spacing w:line="264" w:lineRule="auto"/>
        <w:ind w:left="284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– przedstawiciele członków zwyczajnych;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2) z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głosem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 xml:space="preserve">doradczym </w:t>
      </w:r>
    </w:p>
    <w:p w:rsidR="00267197" w:rsidRPr="00267197" w:rsidRDefault="00267197" w:rsidP="00267197">
      <w:pPr>
        <w:spacing w:line="264" w:lineRule="auto"/>
        <w:ind w:left="284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– członkowie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władz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Związku,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ile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są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reprezentantami członków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zwyczajnych, przedstawiciele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członków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wspierających,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członkowie honorowi i zaproszeni goście. Każdy Członek Zwyczajny może zaprosić na Walne Zebranie do 3 gości.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Walne Zebranie jest władne do podejmowania uchwał w pierwszym terminie przy obecności co najmniej połowy członków.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3. Jeżeli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pierwszym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terminie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posiedzeniu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uczestniczy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co najmniej połowa liczby członków, wówczas w drugim terminie posiedzenia uchwały mogą być podjęte bez względu na liczbę obecnych członków, chyba że przepisy Statutu stanowią inaczej. Głosy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nieważne,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nieoddane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lub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wstrzymujące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są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uwzględnianie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przy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obliczaniu większości.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4. Obrady prowadzone są w oparciu o uchwalony w głosowaniu jawnym Regulamin i Porządek obrad.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3.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1.Walne Zebranie otwiera Prezes PZSQ, a w przypadku jego braku/nieobecności kolejno WicePrezes, Członek Zarządu, Przewodniczący Komisji Rewizyjnej, Członek Komisji Rewizyjnej.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Otwierający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obrady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przeprowadza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wybór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Prezydium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 składzie: Przewodniczący, Sekretarz.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3. Przewodniczący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przeprowadza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wybory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Komisji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wskazanych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 § 4 niniejszego regulaminu.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 xml:space="preserve">4. Po przeprowadzeniu wyborów Prezydium i Komisji Walnego Zebrania, na wniosek Komisji Mandatowo – Skrutacyjnej, stwierdza się ważność zwołania Walnego Zebrania, wyboru Komisji wskazanych w § 4 niniejszego regulaminu oraz poddaje się pod głosowanie porządek obrad. 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4.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1. Walne Zebranie wybiera ze swojego grona: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1) Komisję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Mandatowo-Skrutacyjną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składzie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min. 2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osób,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celu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sprawdzenia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 xml:space="preserve">prawidłowości zwołania Zebrania, listy obecności przedstawicieli, weryfikacji ważności ich mandatów i przedłożenia Walnemu </w:t>
      </w:r>
      <w:r w:rsidRPr="00267197">
        <w:rPr>
          <w:sz w:val="20"/>
          <w:szCs w:val="20"/>
        </w:rPr>
        <w:lastRenderedPageBreak/>
        <w:t>Zebrania sprawozdania z wnioskiem, co do ważności zebrania i zdolności podejmowania uchwał oraz obliczania wyników głosowania i wykonywania innych czynności technicznych związanych z obsługą głosowań.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Komisje wybierają ze swojego grona Przewodniczącego i Sekretarza. Uchwały Komisji zapadają zwykłą większością głosów. Członek Komisji ma prawo zgłosić do protokołu Komisji swoje odrębne zdanie.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3. Każda Komisja sporządza protokół ze swojej działalności, podpisany przez Przewodniczącego i Sekretarza. Przewodniczący Komisji przekazuje protokół Sekretarzowi Walnego Zebrania.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4. Przewodniczący Komisji składają sprawozdania z czynności Komisji oraz przedstawiają wnioski bezpośrednio Walnemu Zebraniu.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5. Członkami Komisji mogą być tylko przedstawiciele uczestniczący w Walnym Zebraniu.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5.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1. Przewodniczący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prowadzi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dyskusje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udzielając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uczestnikom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 xml:space="preserve">Walnego Zebrania głosu. 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Przewodniczący Walnego Zebrania może udzielić głosu gościom zaproszonym na Walne Zebranie w dowolnym punkcie obrad Walnego Zebrania.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3. Za zgodą Walnego Zebrania dyskusja może być przeprowadzona nad kilkoma punktami obrad łącznie.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 xml:space="preserve">4. Walne Zebranie może uchwalić maksymalny czas wystąpienia w dyskusji. 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5. Przewodniczący Walnego Zebrania może odmówić udzielenia głosu osobie, która w danej sprawie już się wypowiadała.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6. Przewodniczący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ma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prawo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zwrócić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uwagę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mówcy,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jeżeli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 xml:space="preserve">odbiega od przedmiotu dyskusji lub przekracza czas ustalony dla przemówień przez Walne Zebranie. 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7. Niestosującym się do uwag, Przewodniczący Walnego Zebrania obrad może odebrać głos.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8. W sprawach formalnych Przewodniczący Walnego Zebrania udziela głosu poza kolejnością. Za wnioski w sprawach formalnych uważa się wnioski dotyczące: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1) sposobu obradowania,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2) sposobu głosowania,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3) głosowania bez dyskusji,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4) przerwania dyskusji,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5) zamknięcia list,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6) ograniczenia czasu przemówień,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7) zarządzenia przerwy w obradach,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8) kolejności i sposobu uchwalenia wniosków.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6.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1. Po zakończeniu dyskusji, jeżeli temat obrad wymaga podjęcia przez Walne Zebranie uchwały, Przewodniczący Walnego Zebrania zarządza głosowanie, przestrzegając, aby wnioski dalej idące były głosowane w pierwszej kolejności. Poprawki do wniosku głosuje się przed głosowaniem samego wniosku.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Głosowania Walnego Zebrania odbywają się w sposób jawny , chyba że Statut stanowi inaczej.</w:t>
      </w:r>
    </w:p>
    <w:p w:rsidR="00901CAC" w:rsidRPr="00267197" w:rsidRDefault="00901CAC" w:rsidP="00267197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Głosowania dotyczące wyborów Przewodniczącego, Sekretarza, Członków Komisji, wyboru Członków Zarządu i Komisji Rewizyjnej raz udzielenia absolutorium odbywają się w trybie tajnym.</w:t>
      </w:r>
    </w:p>
    <w:p w:rsidR="00267197" w:rsidRPr="00267197" w:rsidRDefault="00901CAC" w:rsidP="00267197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267197" w:rsidRPr="00267197">
        <w:rPr>
          <w:sz w:val="20"/>
          <w:szCs w:val="20"/>
        </w:rPr>
        <w:t>. Uchwały Walnego Zebrania zapadają zwykłą większością głosów w obecności co najmniej połowy liczby członków chyba że przepisy Statutu stanowią inaczej.</w:t>
      </w:r>
    </w:p>
    <w:p w:rsidR="00267197" w:rsidRPr="00267197" w:rsidRDefault="00901CAC" w:rsidP="00267197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267197" w:rsidRPr="00267197">
        <w:rPr>
          <w:sz w:val="20"/>
          <w:szCs w:val="20"/>
        </w:rPr>
        <w:t>. W głosowaniu oblicza się liczbę głosów za i przeciw oddanych przez przedstawicieli oraz liczbę wstrzymujących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się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od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głosowania.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Wyniki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głosowania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ogłasza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Przewodniczący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Walnego Zebrania. W przypadku poddania pod głosowanie kilku wniosków dotyczących tej samej sprawy za przyjęty uważa się wniosek, który uzyskał największą liczbę głosów, pod warunkiem uzyskania co najmniej 50% oddanych głosów.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lastRenderedPageBreak/>
        <w:t>§ 7.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Sprawy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dotyczące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sposobu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obradowania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nieobjęte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regulaminem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rozstrzyga Przewodniczący Walnego Zebrania.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8.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 obrad Walnego Zebrania sporządza się protokół, który podpisuje Przewodniczący Walnego Zebrania i Sekretarz Walnego Zebrania.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Protokół Walnego Zebrania powinien zawierać datę, porządek obrad, krótki opis przebiegu dyskusji, oświadczenia złożone do protokołu, treść podjętych uchwał. Przy podawaniu treści uchwał należy podać liczbę głosów za i przeciw uchwale oraz liczbę wstrzymujących się od głosowania.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9.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wyczerpaniu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wszystkich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spraw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zamieszczonych 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porządku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obrad, Przewodniczący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 Zebrania ogłasza zamknięcie Walnego Zebrania.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1A0BE1" w:rsidRPr="00267197" w:rsidRDefault="001A0BE1"/>
    <w:sectPr w:rsidR="001A0BE1" w:rsidRPr="002671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20" w:rsidRDefault="00EA1920" w:rsidP="00267197">
      <w:r>
        <w:separator/>
      </w:r>
    </w:p>
  </w:endnote>
  <w:endnote w:type="continuationSeparator" w:id="0">
    <w:p w:rsidR="00EA1920" w:rsidRDefault="00EA1920" w:rsidP="0026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39247447"/>
      <w:docPartObj>
        <w:docPartGallery w:val="Page Numbers (Bottom of Page)"/>
        <w:docPartUnique/>
      </w:docPartObj>
    </w:sdtPr>
    <w:sdtEndPr/>
    <w:sdtContent>
      <w:p w:rsidR="00267197" w:rsidRPr="00267197" w:rsidRDefault="00267197">
        <w:pPr>
          <w:pStyle w:val="Stopka"/>
          <w:jc w:val="right"/>
          <w:rPr>
            <w:sz w:val="18"/>
          </w:rPr>
        </w:pPr>
        <w:r w:rsidRPr="00267197">
          <w:rPr>
            <w:sz w:val="18"/>
          </w:rPr>
          <w:fldChar w:fldCharType="begin"/>
        </w:r>
        <w:r w:rsidRPr="00267197">
          <w:rPr>
            <w:sz w:val="18"/>
          </w:rPr>
          <w:instrText>PAGE   \* MERGEFORMAT</w:instrText>
        </w:r>
        <w:r w:rsidRPr="00267197">
          <w:rPr>
            <w:sz w:val="18"/>
          </w:rPr>
          <w:fldChar w:fldCharType="separate"/>
        </w:r>
        <w:r w:rsidR="00901CAC">
          <w:rPr>
            <w:noProof/>
            <w:sz w:val="18"/>
          </w:rPr>
          <w:t>1</w:t>
        </w:r>
        <w:r w:rsidRPr="00267197">
          <w:rPr>
            <w:sz w:val="18"/>
          </w:rPr>
          <w:fldChar w:fldCharType="end"/>
        </w:r>
      </w:p>
    </w:sdtContent>
  </w:sdt>
  <w:p w:rsidR="00267197" w:rsidRPr="00267197" w:rsidRDefault="00267197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20" w:rsidRDefault="00EA1920" w:rsidP="00267197">
      <w:r>
        <w:separator/>
      </w:r>
    </w:p>
  </w:footnote>
  <w:footnote w:type="continuationSeparator" w:id="0">
    <w:p w:rsidR="00EA1920" w:rsidRDefault="00EA1920" w:rsidP="0026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97"/>
    <w:rsid w:val="001A0BE1"/>
    <w:rsid w:val="00267197"/>
    <w:rsid w:val="005D35EE"/>
    <w:rsid w:val="005E254C"/>
    <w:rsid w:val="00636B07"/>
    <w:rsid w:val="00690522"/>
    <w:rsid w:val="00901CAC"/>
    <w:rsid w:val="00E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9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19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7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19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9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19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7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19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3</cp:revision>
  <cp:lastPrinted>2020-10-07T12:59:00Z</cp:lastPrinted>
  <dcterms:created xsi:type="dcterms:W3CDTF">2020-09-14T10:51:00Z</dcterms:created>
  <dcterms:modified xsi:type="dcterms:W3CDTF">2021-05-19T07:35:00Z</dcterms:modified>
</cp:coreProperties>
</file>